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6"/>
        <w:gridCol w:w="3117"/>
        <w:gridCol w:w="3117"/>
      </w:tblGrid>
      <w:tr w:rsidR="00480115" w:rsidTr="001C6C42">
        <w:tc>
          <w:tcPr>
            <w:tcW w:w="3116" w:type="dxa"/>
            <w:shd w:val="clear" w:color="auto" w:fill="D9D9D9" w:themeFill="background1" w:themeFillShade="D9"/>
          </w:tcPr>
          <w:p w:rsidR="00480115" w:rsidRPr="001C6C42" w:rsidRDefault="00724B87">
            <w:pPr>
              <w:rPr>
                <w:b/>
              </w:rPr>
            </w:pPr>
            <w:r>
              <w:rPr>
                <w:b/>
              </w:rPr>
              <w:t xml:space="preserve">Badge Name in Bold – Followed by </w:t>
            </w:r>
            <w:r w:rsidR="00480115" w:rsidRPr="001C6C42">
              <w:rPr>
                <w:b/>
              </w:rPr>
              <w:t>Topic</w:t>
            </w:r>
            <w:r>
              <w:rPr>
                <w:b/>
              </w:rPr>
              <w:t xml:space="preserve"> of badge focus</w:t>
            </w:r>
          </w:p>
        </w:tc>
        <w:tc>
          <w:tcPr>
            <w:tcW w:w="3117" w:type="dxa"/>
            <w:shd w:val="clear" w:color="auto" w:fill="D9D9D9" w:themeFill="background1" w:themeFillShade="D9"/>
          </w:tcPr>
          <w:p w:rsidR="00480115" w:rsidRPr="001C6C42" w:rsidRDefault="00480115" w:rsidP="001C6C42">
            <w:pPr>
              <w:rPr>
                <w:b/>
              </w:rPr>
            </w:pPr>
            <w:r w:rsidRPr="001C6C42">
              <w:rPr>
                <w:b/>
              </w:rPr>
              <w:t>Key Learning Outcomes</w:t>
            </w:r>
            <w:r w:rsidR="001C6C42">
              <w:rPr>
                <w:b/>
              </w:rPr>
              <w:t xml:space="preserve"> and/or Focus</w:t>
            </w:r>
          </w:p>
        </w:tc>
        <w:tc>
          <w:tcPr>
            <w:tcW w:w="3117" w:type="dxa"/>
            <w:shd w:val="clear" w:color="auto" w:fill="D9D9D9" w:themeFill="background1" w:themeFillShade="D9"/>
          </w:tcPr>
          <w:p w:rsidR="00480115" w:rsidRPr="001C6C42" w:rsidRDefault="00724B87">
            <w:pPr>
              <w:rPr>
                <w:b/>
              </w:rPr>
            </w:pPr>
            <w:r>
              <w:rPr>
                <w:b/>
              </w:rPr>
              <w:t xml:space="preserve">Method of </w:t>
            </w:r>
            <w:r w:rsidR="00480115" w:rsidRPr="001C6C42">
              <w:rPr>
                <w:b/>
              </w:rPr>
              <w:t>Badge Distribution</w:t>
            </w:r>
          </w:p>
        </w:tc>
      </w:tr>
      <w:tr w:rsidR="00480115" w:rsidTr="00480115">
        <w:tc>
          <w:tcPr>
            <w:tcW w:w="3116" w:type="dxa"/>
          </w:tcPr>
          <w:p w:rsidR="00480115" w:rsidRDefault="00724B87" w:rsidP="00724B87">
            <w:pPr>
              <w:pStyle w:val="ListParagraph"/>
              <w:numPr>
                <w:ilvl w:val="0"/>
                <w:numId w:val="1"/>
              </w:numPr>
            </w:pPr>
            <w:r w:rsidRPr="00724B87">
              <w:rPr>
                <w:b/>
              </w:rPr>
              <w:t>The Big Light:</w:t>
            </w:r>
            <w:r>
              <w:t xml:space="preserve"> </w:t>
            </w:r>
            <w:bookmarkStart w:id="0" w:name="_GoBack"/>
            <w:r w:rsidR="00480115">
              <w:t>C</w:t>
            </w:r>
            <w:bookmarkEnd w:id="0"/>
            <w:r w:rsidR="00480115">
              <w:t>hancellor’s Welcome</w:t>
            </w:r>
          </w:p>
        </w:tc>
        <w:tc>
          <w:tcPr>
            <w:tcW w:w="3117" w:type="dxa"/>
          </w:tcPr>
          <w:p w:rsidR="00480115" w:rsidRDefault="001C6C42">
            <w:r>
              <w:t>Meet chancellor, connection to campus</w:t>
            </w:r>
            <w:r w:rsidR="001B6CB7">
              <w:t>; proof of training</w:t>
            </w:r>
          </w:p>
        </w:tc>
        <w:tc>
          <w:tcPr>
            <w:tcW w:w="3117" w:type="dxa"/>
          </w:tcPr>
          <w:p w:rsidR="00480115" w:rsidRDefault="001C6C42">
            <w:r>
              <w:t>Automated with training</w:t>
            </w:r>
          </w:p>
        </w:tc>
      </w:tr>
      <w:tr w:rsidR="00480115" w:rsidTr="00480115">
        <w:tc>
          <w:tcPr>
            <w:tcW w:w="3116" w:type="dxa"/>
          </w:tcPr>
          <w:p w:rsidR="00480115" w:rsidRDefault="00724B87" w:rsidP="001B6CB7">
            <w:pPr>
              <w:pStyle w:val="ListParagraph"/>
              <w:numPr>
                <w:ilvl w:val="0"/>
                <w:numId w:val="1"/>
              </w:numPr>
            </w:pPr>
            <w:r w:rsidRPr="00724B87">
              <w:rPr>
                <w:b/>
              </w:rPr>
              <w:t>Focused</w:t>
            </w:r>
            <w:r>
              <w:t xml:space="preserve">: </w:t>
            </w:r>
            <w:r w:rsidR="00480115">
              <w:t>MSU-</w:t>
            </w:r>
            <w:proofErr w:type="spellStart"/>
            <w:r w:rsidR="00480115">
              <w:t>Northern’s</w:t>
            </w:r>
            <w:proofErr w:type="spellEnd"/>
            <w:r w:rsidR="00480115">
              <w:t xml:space="preserve"> Mission, Vision, Core Themes</w:t>
            </w:r>
          </w:p>
        </w:tc>
        <w:tc>
          <w:tcPr>
            <w:tcW w:w="3117" w:type="dxa"/>
          </w:tcPr>
          <w:p w:rsidR="00480115" w:rsidRDefault="001C6C42">
            <w:r>
              <w:t>Learn focus of college, connection to graduation outcome</w:t>
            </w:r>
            <w:r w:rsidR="001B6CB7">
              <w:t>; proof of training</w:t>
            </w:r>
          </w:p>
        </w:tc>
        <w:tc>
          <w:tcPr>
            <w:tcW w:w="3117" w:type="dxa"/>
          </w:tcPr>
          <w:p w:rsidR="00480115" w:rsidRDefault="001C6C42">
            <w:r>
              <w:t>Automated with training</w:t>
            </w:r>
          </w:p>
        </w:tc>
      </w:tr>
      <w:tr w:rsidR="00480115" w:rsidTr="00480115">
        <w:tc>
          <w:tcPr>
            <w:tcW w:w="3116" w:type="dxa"/>
          </w:tcPr>
          <w:p w:rsidR="00480115" w:rsidRDefault="00724B87" w:rsidP="001B6CB7">
            <w:pPr>
              <w:pStyle w:val="ListParagraph"/>
              <w:numPr>
                <w:ilvl w:val="0"/>
                <w:numId w:val="1"/>
              </w:numPr>
            </w:pPr>
            <w:r w:rsidRPr="00724B87">
              <w:rPr>
                <w:b/>
              </w:rPr>
              <w:t>Help Seeker:</w:t>
            </w:r>
            <w:r>
              <w:t xml:space="preserve"> </w:t>
            </w:r>
            <w:r w:rsidR="00480115">
              <w:t>Academic Accommodations for Students with Learning Disabilities</w:t>
            </w:r>
          </w:p>
        </w:tc>
        <w:tc>
          <w:tcPr>
            <w:tcW w:w="3117" w:type="dxa"/>
          </w:tcPr>
          <w:p w:rsidR="00480115" w:rsidRDefault="00480115">
            <w:r>
              <w:t>Instructors learn policy and basics of universal design</w:t>
            </w:r>
            <w:r w:rsidR="001B6CB7">
              <w:t>; proof of training</w:t>
            </w:r>
          </w:p>
        </w:tc>
        <w:tc>
          <w:tcPr>
            <w:tcW w:w="3117" w:type="dxa"/>
          </w:tcPr>
          <w:p w:rsidR="00480115" w:rsidRDefault="00480115">
            <w:r>
              <w:t>Automated with training</w:t>
            </w:r>
          </w:p>
        </w:tc>
      </w:tr>
      <w:tr w:rsidR="00480115" w:rsidTr="00480115">
        <w:tc>
          <w:tcPr>
            <w:tcW w:w="3116" w:type="dxa"/>
          </w:tcPr>
          <w:p w:rsidR="00480115" w:rsidRDefault="00724B87" w:rsidP="001B6CB7">
            <w:pPr>
              <w:pStyle w:val="ListParagraph"/>
              <w:numPr>
                <w:ilvl w:val="0"/>
                <w:numId w:val="1"/>
              </w:numPr>
            </w:pPr>
            <w:r w:rsidRPr="00724B87">
              <w:rPr>
                <w:b/>
              </w:rPr>
              <w:t>Prove it:</w:t>
            </w:r>
            <w:r>
              <w:t xml:space="preserve"> Using </w:t>
            </w:r>
            <w:r w:rsidR="00480115">
              <w:t>Bloom’s Taxonomy</w:t>
            </w:r>
            <w:r>
              <w:t xml:space="preserve"> in instruction and assessment</w:t>
            </w:r>
          </w:p>
        </w:tc>
        <w:tc>
          <w:tcPr>
            <w:tcW w:w="3117" w:type="dxa"/>
          </w:tcPr>
          <w:p w:rsidR="00480115" w:rsidRDefault="00480115">
            <w:r>
              <w:t xml:space="preserve">Instructors learn </w:t>
            </w:r>
            <w:r w:rsidR="001C6C42">
              <w:t xml:space="preserve">about </w:t>
            </w:r>
            <w:r>
              <w:t>measurable outcomes</w:t>
            </w:r>
            <w:r w:rsidR="001C6C42">
              <w:t xml:space="preserve"> and alternative assessment ideas</w:t>
            </w:r>
            <w:r w:rsidR="001B6CB7">
              <w:t>; proof of training</w:t>
            </w:r>
          </w:p>
        </w:tc>
        <w:tc>
          <w:tcPr>
            <w:tcW w:w="3117" w:type="dxa"/>
          </w:tcPr>
          <w:p w:rsidR="00480115" w:rsidRDefault="00480115">
            <w:r>
              <w:t>Automated with training</w:t>
            </w:r>
          </w:p>
        </w:tc>
      </w:tr>
      <w:tr w:rsidR="00480115" w:rsidTr="00480115">
        <w:tc>
          <w:tcPr>
            <w:tcW w:w="3116" w:type="dxa"/>
          </w:tcPr>
          <w:p w:rsidR="00480115" w:rsidRDefault="00724B87" w:rsidP="001B6CB7">
            <w:pPr>
              <w:pStyle w:val="ListParagraph"/>
              <w:numPr>
                <w:ilvl w:val="0"/>
                <w:numId w:val="1"/>
              </w:numPr>
            </w:pPr>
            <w:r w:rsidRPr="00724B87">
              <w:rPr>
                <w:b/>
              </w:rPr>
              <w:t>Ready to Learn:</w:t>
            </w:r>
            <w:r>
              <w:t xml:space="preserve"> </w:t>
            </w:r>
            <w:r w:rsidR="00480115">
              <w:t xml:space="preserve">Extended University – D2L </w:t>
            </w:r>
          </w:p>
        </w:tc>
        <w:tc>
          <w:tcPr>
            <w:tcW w:w="3117" w:type="dxa"/>
          </w:tcPr>
          <w:p w:rsidR="00480115" w:rsidRDefault="00480115">
            <w:r>
              <w:t>Students, instruct</w:t>
            </w:r>
            <w:r w:rsidR="001B6CB7">
              <w:t>ors and staff learn login/usage;</w:t>
            </w:r>
            <w:r w:rsidR="001C6C42">
              <w:t xml:space="preserve"> proof of training</w:t>
            </w:r>
          </w:p>
        </w:tc>
        <w:tc>
          <w:tcPr>
            <w:tcW w:w="3117" w:type="dxa"/>
          </w:tcPr>
          <w:p w:rsidR="00480115" w:rsidRDefault="00480115">
            <w:r>
              <w:t>Automated with training</w:t>
            </w:r>
          </w:p>
        </w:tc>
      </w:tr>
      <w:tr w:rsidR="00A44F6C" w:rsidTr="00480115">
        <w:tc>
          <w:tcPr>
            <w:tcW w:w="3116" w:type="dxa"/>
          </w:tcPr>
          <w:p w:rsidR="00A44F6C" w:rsidRPr="00724B87" w:rsidRDefault="00A44F6C" w:rsidP="001B6CB7">
            <w:pPr>
              <w:pStyle w:val="ListParagraph"/>
              <w:numPr>
                <w:ilvl w:val="0"/>
                <w:numId w:val="1"/>
              </w:numPr>
              <w:rPr>
                <w:b/>
              </w:rPr>
            </w:pPr>
            <w:r>
              <w:rPr>
                <w:b/>
              </w:rPr>
              <w:t>The Postman Cometh</w:t>
            </w:r>
          </w:p>
        </w:tc>
        <w:tc>
          <w:tcPr>
            <w:tcW w:w="3117" w:type="dxa"/>
          </w:tcPr>
          <w:p w:rsidR="00A44F6C" w:rsidRDefault="00A44F6C">
            <w:r>
              <w:t>Successful use login and use of university e-mail via D2l</w:t>
            </w:r>
          </w:p>
        </w:tc>
        <w:tc>
          <w:tcPr>
            <w:tcW w:w="3117" w:type="dxa"/>
          </w:tcPr>
          <w:p w:rsidR="00A44F6C" w:rsidRDefault="00A44F6C">
            <w:r>
              <w:t>Automated with first sent email</w:t>
            </w:r>
          </w:p>
        </w:tc>
      </w:tr>
      <w:tr w:rsidR="00A44F6C" w:rsidTr="00480115">
        <w:tc>
          <w:tcPr>
            <w:tcW w:w="3116" w:type="dxa"/>
          </w:tcPr>
          <w:p w:rsidR="00A44F6C" w:rsidRDefault="00A44F6C" w:rsidP="001B6CB7">
            <w:pPr>
              <w:pStyle w:val="ListParagraph"/>
              <w:numPr>
                <w:ilvl w:val="0"/>
                <w:numId w:val="1"/>
              </w:numPr>
              <w:rPr>
                <w:b/>
              </w:rPr>
            </w:pPr>
            <w:r>
              <w:rPr>
                <w:b/>
              </w:rPr>
              <w:t>Learning Machine</w:t>
            </w:r>
          </w:p>
        </w:tc>
        <w:tc>
          <w:tcPr>
            <w:tcW w:w="3117" w:type="dxa"/>
          </w:tcPr>
          <w:p w:rsidR="00A44F6C" w:rsidRDefault="00A44F6C">
            <w:r>
              <w:t>For using D2L for any course</w:t>
            </w:r>
          </w:p>
        </w:tc>
        <w:tc>
          <w:tcPr>
            <w:tcW w:w="3117" w:type="dxa"/>
          </w:tcPr>
          <w:p w:rsidR="00A44F6C" w:rsidRDefault="00A44F6C">
            <w:r>
              <w:t>Automated with first login</w:t>
            </w:r>
          </w:p>
        </w:tc>
      </w:tr>
      <w:tr w:rsidR="00480115" w:rsidTr="00480115">
        <w:tc>
          <w:tcPr>
            <w:tcW w:w="3116" w:type="dxa"/>
          </w:tcPr>
          <w:p w:rsidR="00480115" w:rsidRDefault="00724B87" w:rsidP="001B6CB7">
            <w:pPr>
              <w:pStyle w:val="ListParagraph"/>
              <w:numPr>
                <w:ilvl w:val="0"/>
                <w:numId w:val="1"/>
              </w:numPr>
            </w:pPr>
            <w:r w:rsidRPr="00724B87">
              <w:rPr>
                <w:b/>
              </w:rPr>
              <w:t>Help Master</w:t>
            </w:r>
            <w:r>
              <w:t xml:space="preserve">: </w:t>
            </w:r>
            <w:r w:rsidR="00480115">
              <w:t>Disability Statement</w:t>
            </w:r>
          </w:p>
        </w:tc>
        <w:tc>
          <w:tcPr>
            <w:tcW w:w="3117" w:type="dxa"/>
          </w:tcPr>
          <w:p w:rsidR="00480115" w:rsidRDefault="00480115">
            <w:r>
              <w:t>American Disabilities Act and Student Support services</w:t>
            </w:r>
            <w:r w:rsidR="001B6CB7">
              <w:t>;</w:t>
            </w:r>
            <w:r w:rsidR="001C6C42">
              <w:t xml:space="preserve"> proof of training</w:t>
            </w:r>
          </w:p>
        </w:tc>
        <w:tc>
          <w:tcPr>
            <w:tcW w:w="3117" w:type="dxa"/>
          </w:tcPr>
          <w:p w:rsidR="00480115" w:rsidRDefault="001C6C42">
            <w:r>
              <w:t>Automated with training</w:t>
            </w:r>
          </w:p>
        </w:tc>
      </w:tr>
      <w:tr w:rsidR="00480115" w:rsidTr="00480115">
        <w:tc>
          <w:tcPr>
            <w:tcW w:w="3116" w:type="dxa"/>
          </w:tcPr>
          <w:p w:rsidR="00480115" w:rsidRDefault="00724B87" w:rsidP="001B6CB7">
            <w:pPr>
              <w:pStyle w:val="ListParagraph"/>
              <w:numPr>
                <w:ilvl w:val="0"/>
                <w:numId w:val="1"/>
              </w:numPr>
            </w:pPr>
            <w:r w:rsidRPr="00724B87">
              <w:rPr>
                <w:b/>
              </w:rPr>
              <w:t>Integrity Matters</w:t>
            </w:r>
            <w:r>
              <w:t xml:space="preserve">: </w:t>
            </w:r>
            <w:r w:rsidR="00480115">
              <w:t>Academic Misconduct</w:t>
            </w:r>
          </w:p>
        </w:tc>
        <w:tc>
          <w:tcPr>
            <w:tcW w:w="3117" w:type="dxa"/>
          </w:tcPr>
          <w:p w:rsidR="00480115" w:rsidRDefault="00480115">
            <w:r>
              <w:t>Cheating, plagiarism, fabrication, misrepresentation</w:t>
            </w:r>
            <w:r w:rsidR="001C6C42">
              <w:t>,; proof of training</w:t>
            </w:r>
          </w:p>
        </w:tc>
        <w:tc>
          <w:tcPr>
            <w:tcW w:w="3117" w:type="dxa"/>
          </w:tcPr>
          <w:p w:rsidR="00480115" w:rsidRDefault="001C6C42">
            <w:r>
              <w:t>Automated with training</w:t>
            </w:r>
          </w:p>
        </w:tc>
      </w:tr>
      <w:tr w:rsidR="00480115" w:rsidTr="00480115">
        <w:tc>
          <w:tcPr>
            <w:tcW w:w="3116" w:type="dxa"/>
          </w:tcPr>
          <w:p w:rsidR="00480115" w:rsidRDefault="00724B87" w:rsidP="001B6CB7">
            <w:pPr>
              <w:pStyle w:val="ListParagraph"/>
              <w:numPr>
                <w:ilvl w:val="0"/>
                <w:numId w:val="1"/>
              </w:numPr>
            </w:pPr>
            <w:r w:rsidRPr="00724B87">
              <w:rPr>
                <w:b/>
              </w:rPr>
              <w:t>Rack It Up!</w:t>
            </w:r>
            <w:r>
              <w:t xml:space="preserve"> </w:t>
            </w:r>
            <w:r w:rsidR="00480115">
              <w:t>Grading scale</w:t>
            </w:r>
            <w:r w:rsidR="001C6C42">
              <w:t xml:space="preserve"> </w:t>
            </w:r>
          </w:p>
        </w:tc>
        <w:tc>
          <w:tcPr>
            <w:tcW w:w="3117" w:type="dxa"/>
          </w:tcPr>
          <w:p w:rsidR="00480115" w:rsidRDefault="00480115">
            <w:r>
              <w:t>GPA system, and connections to modifiers of Excellent, Above Average etc.</w:t>
            </w:r>
            <w:r w:rsidR="001C6C42">
              <w:t>; Connections to financial aid (refer to training on Satisfactory Academic progress); proof of training</w:t>
            </w:r>
          </w:p>
        </w:tc>
        <w:tc>
          <w:tcPr>
            <w:tcW w:w="3117" w:type="dxa"/>
          </w:tcPr>
          <w:p w:rsidR="00480115" w:rsidRDefault="001C6C42">
            <w:r>
              <w:t>Automated with training</w:t>
            </w:r>
          </w:p>
        </w:tc>
      </w:tr>
      <w:tr w:rsidR="00480115" w:rsidTr="00480115">
        <w:tc>
          <w:tcPr>
            <w:tcW w:w="3116" w:type="dxa"/>
          </w:tcPr>
          <w:p w:rsidR="00480115" w:rsidRDefault="00724B87" w:rsidP="001B6CB7">
            <w:pPr>
              <w:pStyle w:val="ListParagraph"/>
              <w:numPr>
                <w:ilvl w:val="0"/>
                <w:numId w:val="1"/>
              </w:numPr>
            </w:pPr>
            <w:r w:rsidRPr="00724B87">
              <w:rPr>
                <w:b/>
              </w:rPr>
              <w:t>Got Your Back</w:t>
            </w:r>
            <w:r>
              <w:t xml:space="preserve">: </w:t>
            </w:r>
            <w:r w:rsidR="00480115">
              <w:t>Policy 1001.7</w:t>
            </w:r>
          </w:p>
        </w:tc>
        <w:tc>
          <w:tcPr>
            <w:tcW w:w="3117" w:type="dxa"/>
          </w:tcPr>
          <w:p w:rsidR="00480115" w:rsidRDefault="00480115">
            <w:r>
              <w:t>Discrimination, Harassment, Sexual Misconduct, Dating violence, domestic violence, stalking and retaliation</w:t>
            </w:r>
            <w:r w:rsidR="001C6C42">
              <w:t>; proof of training</w:t>
            </w:r>
          </w:p>
        </w:tc>
        <w:tc>
          <w:tcPr>
            <w:tcW w:w="3117" w:type="dxa"/>
          </w:tcPr>
          <w:p w:rsidR="00480115" w:rsidRDefault="001C6C42">
            <w:r>
              <w:t>Automated with training</w:t>
            </w:r>
          </w:p>
        </w:tc>
      </w:tr>
      <w:tr w:rsidR="00480115" w:rsidTr="00480115">
        <w:tc>
          <w:tcPr>
            <w:tcW w:w="3116" w:type="dxa"/>
          </w:tcPr>
          <w:p w:rsidR="00480115" w:rsidRDefault="001B6CB7" w:rsidP="001B6CB7">
            <w:pPr>
              <w:pStyle w:val="ListParagraph"/>
              <w:numPr>
                <w:ilvl w:val="0"/>
                <w:numId w:val="1"/>
              </w:numPr>
            </w:pPr>
            <w:r w:rsidRPr="001B6CB7">
              <w:rPr>
                <w:b/>
              </w:rPr>
              <w:t>In the Money</w:t>
            </w:r>
            <w:r>
              <w:t xml:space="preserve">: </w:t>
            </w:r>
            <w:r w:rsidR="00480115">
              <w:t>Policy 601.1 Standards of Satisfactory Academic Progress for Financial Aid</w:t>
            </w:r>
          </w:p>
        </w:tc>
        <w:tc>
          <w:tcPr>
            <w:tcW w:w="3117" w:type="dxa"/>
          </w:tcPr>
          <w:p w:rsidR="00480115" w:rsidRDefault="001C6C42">
            <w:r>
              <w:t>What is SAP? How is financial aid impacted? proof of training</w:t>
            </w:r>
          </w:p>
        </w:tc>
        <w:tc>
          <w:tcPr>
            <w:tcW w:w="3117" w:type="dxa"/>
          </w:tcPr>
          <w:p w:rsidR="00480115" w:rsidRDefault="001C6C42">
            <w:r>
              <w:t>Automated with training</w:t>
            </w:r>
          </w:p>
        </w:tc>
      </w:tr>
      <w:tr w:rsidR="00480115" w:rsidTr="00480115">
        <w:tc>
          <w:tcPr>
            <w:tcW w:w="3116" w:type="dxa"/>
          </w:tcPr>
          <w:p w:rsidR="00480115" w:rsidRDefault="001B6CB7" w:rsidP="001B6CB7">
            <w:pPr>
              <w:pStyle w:val="ListParagraph"/>
              <w:numPr>
                <w:ilvl w:val="0"/>
                <w:numId w:val="1"/>
              </w:numPr>
            </w:pPr>
            <w:r w:rsidRPr="001B6CB7">
              <w:rPr>
                <w:b/>
              </w:rPr>
              <w:t>Safe to Snooze:</w:t>
            </w:r>
            <w:r>
              <w:t xml:space="preserve"> </w:t>
            </w:r>
            <w:r w:rsidR="00480115">
              <w:t>1004.2 Inclement Weather Policy</w:t>
            </w:r>
          </w:p>
        </w:tc>
        <w:tc>
          <w:tcPr>
            <w:tcW w:w="3117" w:type="dxa"/>
          </w:tcPr>
          <w:p w:rsidR="00480115" w:rsidRDefault="001C6C42">
            <w:r>
              <w:t>Learn policy, learn what ways they’d be notified; proof of training</w:t>
            </w:r>
          </w:p>
        </w:tc>
        <w:tc>
          <w:tcPr>
            <w:tcW w:w="3117" w:type="dxa"/>
          </w:tcPr>
          <w:p w:rsidR="00480115" w:rsidRDefault="001C6C42">
            <w:r>
              <w:t>Automated with training</w:t>
            </w:r>
          </w:p>
        </w:tc>
      </w:tr>
      <w:tr w:rsidR="00480115" w:rsidTr="00480115">
        <w:tc>
          <w:tcPr>
            <w:tcW w:w="3116" w:type="dxa"/>
          </w:tcPr>
          <w:p w:rsidR="00480115" w:rsidRDefault="001B6CB7" w:rsidP="001B6CB7">
            <w:pPr>
              <w:pStyle w:val="ListParagraph"/>
              <w:numPr>
                <w:ilvl w:val="0"/>
                <w:numId w:val="1"/>
              </w:numPr>
            </w:pPr>
            <w:r w:rsidRPr="001B6CB7">
              <w:rPr>
                <w:b/>
              </w:rPr>
              <w:lastRenderedPageBreak/>
              <w:t>In the Know:</w:t>
            </w:r>
            <w:r>
              <w:t xml:space="preserve"> </w:t>
            </w:r>
            <w:r w:rsidR="00480115">
              <w:t>Academic Calendar</w:t>
            </w:r>
          </w:p>
        </w:tc>
        <w:tc>
          <w:tcPr>
            <w:tcW w:w="3117" w:type="dxa"/>
          </w:tcPr>
          <w:p w:rsidR="00480115" w:rsidRDefault="001C6C42">
            <w:r>
              <w:t>Where to find key deadlines for advisement, enrollment, drop/add, withdrawal, graduation etc.; proof of training</w:t>
            </w:r>
          </w:p>
        </w:tc>
        <w:tc>
          <w:tcPr>
            <w:tcW w:w="3117" w:type="dxa"/>
          </w:tcPr>
          <w:p w:rsidR="00480115" w:rsidRDefault="001C6C42">
            <w:r>
              <w:t>Automated with training</w:t>
            </w:r>
          </w:p>
        </w:tc>
      </w:tr>
      <w:tr w:rsidR="00480115" w:rsidTr="00480115">
        <w:tc>
          <w:tcPr>
            <w:tcW w:w="3116" w:type="dxa"/>
          </w:tcPr>
          <w:p w:rsidR="00480115" w:rsidRDefault="001B6CB7" w:rsidP="001B6CB7">
            <w:pPr>
              <w:pStyle w:val="ListParagraph"/>
              <w:numPr>
                <w:ilvl w:val="0"/>
                <w:numId w:val="1"/>
              </w:numPr>
            </w:pPr>
            <w:r w:rsidRPr="001B6CB7">
              <w:rPr>
                <w:b/>
              </w:rPr>
              <w:t>Living the Life:</w:t>
            </w:r>
            <w:r>
              <w:t xml:space="preserve"> </w:t>
            </w:r>
            <w:r w:rsidR="001C6C42">
              <w:t>Residence Life Policies</w:t>
            </w:r>
          </w:p>
        </w:tc>
        <w:tc>
          <w:tcPr>
            <w:tcW w:w="3117" w:type="dxa"/>
          </w:tcPr>
          <w:p w:rsidR="00480115" w:rsidRDefault="001C6C42" w:rsidP="001B6CB7">
            <w:r>
              <w:t>Welcome, Roles of staff positions, Health and</w:t>
            </w:r>
            <w:r w:rsidR="001B6CB7">
              <w:t xml:space="preserve"> Safety, community involvement, Resources for issues/concerns and roommate concerns; proof of training</w:t>
            </w:r>
          </w:p>
        </w:tc>
        <w:tc>
          <w:tcPr>
            <w:tcW w:w="3117" w:type="dxa"/>
          </w:tcPr>
          <w:p w:rsidR="00480115" w:rsidRDefault="001B6CB7">
            <w:r>
              <w:t>Automated with training</w:t>
            </w:r>
          </w:p>
        </w:tc>
      </w:tr>
      <w:tr w:rsidR="00480115" w:rsidTr="00480115">
        <w:tc>
          <w:tcPr>
            <w:tcW w:w="3116" w:type="dxa"/>
          </w:tcPr>
          <w:p w:rsidR="00480115" w:rsidRDefault="001B6CB7" w:rsidP="001B6CB7">
            <w:pPr>
              <w:pStyle w:val="ListParagraph"/>
              <w:numPr>
                <w:ilvl w:val="0"/>
                <w:numId w:val="1"/>
              </w:numPr>
            </w:pPr>
            <w:r w:rsidRPr="001B6CB7">
              <w:rPr>
                <w:b/>
              </w:rPr>
              <w:t>Investigator</w:t>
            </w:r>
            <w:r>
              <w:t xml:space="preserve">: </w:t>
            </w:r>
            <w:r w:rsidR="001C6C42">
              <w:t xml:space="preserve">Library </w:t>
            </w:r>
          </w:p>
        </w:tc>
        <w:tc>
          <w:tcPr>
            <w:tcW w:w="3117" w:type="dxa"/>
          </w:tcPr>
          <w:p w:rsidR="00480115" w:rsidRDefault="001C6C42">
            <w:r>
              <w:t>Resources, policies, hours; proof of training</w:t>
            </w:r>
          </w:p>
          <w:p w:rsidR="004E64A4" w:rsidRDefault="004E64A4">
            <w:r>
              <w:t xml:space="preserve">Note, the library could have multiple levels, too, and these could be assigned by instructors to prove students know how to use all the resources located there. Check </w:t>
            </w:r>
            <w:hyperlink r:id="rId7" w:history="1">
              <w:r w:rsidRPr="004E64A4">
                <w:rPr>
                  <w:rStyle w:val="Hyperlink"/>
                </w:rPr>
                <w:t>this link for Richland College’s Library’s Lib Guide</w:t>
              </w:r>
            </w:hyperlink>
            <w:r>
              <w:t xml:space="preserve"> and ideas.</w:t>
            </w:r>
          </w:p>
        </w:tc>
        <w:tc>
          <w:tcPr>
            <w:tcW w:w="3117" w:type="dxa"/>
          </w:tcPr>
          <w:p w:rsidR="00480115" w:rsidRDefault="001B6CB7">
            <w:r>
              <w:t>Automated with training</w:t>
            </w:r>
          </w:p>
        </w:tc>
      </w:tr>
      <w:tr w:rsidR="00480115" w:rsidTr="00480115">
        <w:tc>
          <w:tcPr>
            <w:tcW w:w="3116" w:type="dxa"/>
          </w:tcPr>
          <w:p w:rsidR="00480115" w:rsidRDefault="001B6CB7" w:rsidP="001B6CB7">
            <w:pPr>
              <w:pStyle w:val="ListParagraph"/>
              <w:numPr>
                <w:ilvl w:val="0"/>
                <w:numId w:val="1"/>
              </w:numPr>
            </w:pPr>
            <w:r w:rsidRPr="001B6CB7">
              <w:rPr>
                <w:b/>
              </w:rPr>
              <w:t>You Rule:</w:t>
            </w:r>
            <w:r>
              <w:t xml:space="preserve"> Student Government and Campus Organizations</w:t>
            </w:r>
          </w:p>
        </w:tc>
        <w:tc>
          <w:tcPr>
            <w:tcW w:w="3117" w:type="dxa"/>
          </w:tcPr>
          <w:p w:rsidR="00480115" w:rsidRDefault="001B6CB7" w:rsidP="001B6CB7">
            <w:r>
              <w:t>Inform of options/ opportunities, learn benefits of involvements; proof of training</w:t>
            </w:r>
          </w:p>
        </w:tc>
        <w:tc>
          <w:tcPr>
            <w:tcW w:w="3117" w:type="dxa"/>
          </w:tcPr>
          <w:p w:rsidR="00480115" w:rsidRDefault="001B6CB7">
            <w:r>
              <w:t>Automated with training</w:t>
            </w:r>
          </w:p>
        </w:tc>
      </w:tr>
      <w:tr w:rsidR="001B6CB7" w:rsidTr="00480115">
        <w:tc>
          <w:tcPr>
            <w:tcW w:w="3116" w:type="dxa"/>
          </w:tcPr>
          <w:p w:rsidR="001B6CB7" w:rsidRDefault="001B6CB7" w:rsidP="001B6CB7">
            <w:pPr>
              <w:pStyle w:val="ListParagraph"/>
              <w:numPr>
                <w:ilvl w:val="0"/>
                <w:numId w:val="1"/>
              </w:numPr>
            </w:pPr>
            <w:r w:rsidRPr="001B6CB7">
              <w:rPr>
                <w:b/>
              </w:rPr>
              <w:t>Ties to Success:</w:t>
            </w:r>
            <w:r>
              <w:t xml:space="preserve"> Advisement and Department Chairs</w:t>
            </w:r>
          </w:p>
        </w:tc>
        <w:tc>
          <w:tcPr>
            <w:tcW w:w="3117" w:type="dxa"/>
          </w:tcPr>
          <w:p w:rsidR="001B6CB7" w:rsidRDefault="001B6CB7" w:rsidP="001B6CB7">
            <w:r>
              <w:t>Understand role of advisers around campus (financial aid, student services, residence life, academic); Learn chain of command for concerns, Meet department chairs/deans/provost; proof of training</w:t>
            </w:r>
          </w:p>
        </w:tc>
        <w:tc>
          <w:tcPr>
            <w:tcW w:w="3117" w:type="dxa"/>
          </w:tcPr>
          <w:p w:rsidR="001B6CB7" w:rsidRDefault="001B6CB7">
            <w:r>
              <w:t>Automated with training</w:t>
            </w:r>
          </w:p>
        </w:tc>
      </w:tr>
      <w:tr w:rsidR="001B6CB7" w:rsidTr="00480115">
        <w:tc>
          <w:tcPr>
            <w:tcW w:w="3116" w:type="dxa"/>
          </w:tcPr>
          <w:p w:rsidR="001B6CB7" w:rsidRDefault="001B6CB7" w:rsidP="001B6CB7">
            <w:pPr>
              <w:pStyle w:val="ListParagraph"/>
              <w:numPr>
                <w:ilvl w:val="0"/>
                <w:numId w:val="1"/>
              </w:numPr>
            </w:pPr>
            <w:r w:rsidRPr="001B6CB7">
              <w:rPr>
                <w:b/>
              </w:rPr>
              <w:t xml:space="preserve">Check it </w:t>
            </w:r>
            <w:proofErr w:type="gramStart"/>
            <w:r w:rsidRPr="001B6CB7">
              <w:rPr>
                <w:b/>
              </w:rPr>
              <w:t>Out</w:t>
            </w:r>
            <w:proofErr w:type="gramEnd"/>
            <w:r w:rsidRPr="001B6CB7">
              <w:rPr>
                <w:b/>
              </w:rPr>
              <w:t>!</w:t>
            </w:r>
            <w:r>
              <w:t xml:space="preserve"> MSUN Preadmission badge</w:t>
            </w:r>
          </w:p>
        </w:tc>
        <w:tc>
          <w:tcPr>
            <w:tcW w:w="3117" w:type="dxa"/>
          </w:tcPr>
          <w:p w:rsidR="001B6CB7" w:rsidRDefault="001B6CB7" w:rsidP="001B6CB7">
            <w:r>
              <w:t>Learn of majors per college/department, learn contacts for admissions/campus visits; proof of training</w:t>
            </w:r>
          </w:p>
        </w:tc>
        <w:tc>
          <w:tcPr>
            <w:tcW w:w="3117" w:type="dxa"/>
          </w:tcPr>
          <w:p w:rsidR="001B6CB7" w:rsidRDefault="001B6CB7">
            <w:r>
              <w:t>Automated with training</w:t>
            </w:r>
          </w:p>
        </w:tc>
      </w:tr>
      <w:tr w:rsidR="001B6CB7" w:rsidTr="00480115">
        <w:tc>
          <w:tcPr>
            <w:tcW w:w="3116" w:type="dxa"/>
          </w:tcPr>
          <w:p w:rsidR="001B6CB7" w:rsidRPr="00724B87" w:rsidRDefault="00724B87" w:rsidP="001B6CB7">
            <w:pPr>
              <w:pStyle w:val="ListParagraph"/>
              <w:numPr>
                <w:ilvl w:val="0"/>
                <w:numId w:val="1"/>
              </w:numPr>
              <w:rPr>
                <w:b/>
              </w:rPr>
            </w:pPr>
            <w:r w:rsidRPr="00724B87">
              <w:rPr>
                <w:b/>
              </w:rPr>
              <w:t>Ready, Set, Enroll!</w:t>
            </w:r>
          </w:p>
        </w:tc>
        <w:tc>
          <w:tcPr>
            <w:tcW w:w="3117" w:type="dxa"/>
          </w:tcPr>
          <w:p w:rsidR="001B6CB7" w:rsidRDefault="00724B87" w:rsidP="001B6CB7">
            <w:r>
              <w:t>Completed student admissions process, including financial aid</w:t>
            </w:r>
          </w:p>
        </w:tc>
        <w:tc>
          <w:tcPr>
            <w:tcW w:w="3117" w:type="dxa"/>
          </w:tcPr>
          <w:p w:rsidR="001B6CB7" w:rsidRDefault="00724B87">
            <w:r>
              <w:t>Pushed out by Student Services</w:t>
            </w:r>
          </w:p>
        </w:tc>
      </w:tr>
      <w:tr w:rsidR="001B6CB7" w:rsidTr="00480115">
        <w:tc>
          <w:tcPr>
            <w:tcW w:w="3116" w:type="dxa"/>
          </w:tcPr>
          <w:p w:rsidR="001B6CB7" w:rsidRDefault="00724B87" w:rsidP="001B6CB7">
            <w:pPr>
              <w:pStyle w:val="ListParagraph"/>
              <w:numPr>
                <w:ilvl w:val="0"/>
                <w:numId w:val="1"/>
              </w:numPr>
            </w:pPr>
            <w:r w:rsidRPr="00724B87">
              <w:rPr>
                <w:b/>
              </w:rPr>
              <w:t>Enrolled Fa’14</w:t>
            </w:r>
            <w:r>
              <w:t xml:space="preserve"> (and subsequent semesters as applicable)</w:t>
            </w:r>
          </w:p>
        </w:tc>
        <w:tc>
          <w:tcPr>
            <w:tcW w:w="3117" w:type="dxa"/>
          </w:tcPr>
          <w:p w:rsidR="001B6CB7" w:rsidRDefault="00724B87" w:rsidP="001B6CB7">
            <w:r>
              <w:t>For all students enrolled full-time AFTER drop/add period each term</w:t>
            </w:r>
          </w:p>
        </w:tc>
        <w:tc>
          <w:tcPr>
            <w:tcW w:w="3117" w:type="dxa"/>
          </w:tcPr>
          <w:p w:rsidR="001B6CB7" w:rsidRDefault="00724B87">
            <w:r>
              <w:t>Pushed out by Registrar’s office each semester</w:t>
            </w:r>
          </w:p>
        </w:tc>
      </w:tr>
      <w:tr w:rsidR="00724B87" w:rsidTr="00480115">
        <w:tc>
          <w:tcPr>
            <w:tcW w:w="3116" w:type="dxa"/>
          </w:tcPr>
          <w:p w:rsidR="00724B87" w:rsidRPr="00724B87" w:rsidRDefault="00724B87" w:rsidP="001B6CB7">
            <w:pPr>
              <w:pStyle w:val="ListParagraph"/>
              <w:numPr>
                <w:ilvl w:val="0"/>
                <w:numId w:val="1"/>
              </w:numPr>
              <w:rPr>
                <w:b/>
              </w:rPr>
            </w:pPr>
            <w:r>
              <w:rPr>
                <w:b/>
              </w:rPr>
              <w:t>Freshman, Sophomore, Junior, Senior</w:t>
            </w:r>
          </w:p>
        </w:tc>
        <w:tc>
          <w:tcPr>
            <w:tcW w:w="3117" w:type="dxa"/>
          </w:tcPr>
          <w:p w:rsidR="00724B87" w:rsidRDefault="00724B87" w:rsidP="001B6CB7">
            <w:r>
              <w:t>Annual academic badge based upon successfully completed credits</w:t>
            </w:r>
          </w:p>
        </w:tc>
        <w:tc>
          <w:tcPr>
            <w:tcW w:w="3117" w:type="dxa"/>
          </w:tcPr>
          <w:p w:rsidR="00724B87" w:rsidRDefault="00724B87">
            <w:r>
              <w:t>Pushed out by Registrar’s office each fall only</w:t>
            </w:r>
          </w:p>
        </w:tc>
      </w:tr>
      <w:tr w:rsidR="00724B87" w:rsidTr="00480115">
        <w:tc>
          <w:tcPr>
            <w:tcW w:w="3116" w:type="dxa"/>
          </w:tcPr>
          <w:p w:rsidR="00724B87" w:rsidRPr="00724B87" w:rsidRDefault="00724B87" w:rsidP="00724B87">
            <w:pPr>
              <w:pStyle w:val="ListParagraph"/>
              <w:numPr>
                <w:ilvl w:val="0"/>
                <w:numId w:val="1"/>
              </w:numPr>
              <w:rPr>
                <w:b/>
              </w:rPr>
            </w:pPr>
            <w:r>
              <w:rPr>
                <w:b/>
              </w:rPr>
              <w:lastRenderedPageBreak/>
              <w:t xml:space="preserve">Graduate 2015 </w:t>
            </w:r>
            <w:r>
              <w:t>(and subsequent years as applicable)</w:t>
            </w:r>
          </w:p>
        </w:tc>
        <w:tc>
          <w:tcPr>
            <w:tcW w:w="3117" w:type="dxa"/>
          </w:tcPr>
          <w:p w:rsidR="00724B87" w:rsidRDefault="00724B87" w:rsidP="001B6CB7">
            <w:r>
              <w:t>Earned automatically once approved for graduation</w:t>
            </w:r>
          </w:p>
        </w:tc>
        <w:tc>
          <w:tcPr>
            <w:tcW w:w="3117" w:type="dxa"/>
          </w:tcPr>
          <w:p w:rsidR="00724B87" w:rsidRDefault="00724B87">
            <w:r>
              <w:t>Pushed out by Student Services or Registrar’s office once approved for graduation</w:t>
            </w:r>
          </w:p>
        </w:tc>
      </w:tr>
      <w:tr w:rsidR="00724B87" w:rsidTr="00480115">
        <w:tc>
          <w:tcPr>
            <w:tcW w:w="3116" w:type="dxa"/>
          </w:tcPr>
          <w:p w:rsidR="00724B87" w:rsidRPr="00724B87" w:rsidRDefault="00A44F6C" w:rsidP="001B6CB7">
            <w:pPr>
              <w:pStyle w:val="ListParagraph"/>
              <w:numPr>
                <w:ilvl w:val="0"/>
                <w:numId w:val="1"/>
              </w:numPr>
              <w:rPr>
                <w:b/>
              </w:rPr>
            </w:pPr>
            <w:r>
              <w:rPr>
                <w:b/>
              </w:rPr>
              <w:t>Alumni Proud</w:t>
            </w:r>
          </w:p>
        </w:tc>
        <w:tc>
          <w:tcPr>
            <w:tcW w:w="3117" w:type="dxa"/>
          </w:tcPr>
          <w:p w:rsidR="00724B87" w:rsidRDefault="00A44F6C" w:rsidP="001B6CB7">
            <w:r>
              <w:t>Earned after graduation for all who join Alumni Association</w:t>
            </w:r>
          </w:p>
        </w:tc>
        <w:tc>
          <w:tcPr>
            <w:tcW w:w="3117" w:type="dxa"/>
          </w:tcPr>
          <w:p w:rsidR="00724B87" w:rsidRDefault="00A44F6C">
            <w:r>
              <w:t>Pushed out by Jim Bennett’s office</w:t>
            </w:r>
          </w:p>
        </w:tc>
      </w:tr>
      <w:tr w:rsidR="007A42C2" w:rsidTr="00480115">
        <w:tc>
          <w:tcPr>
            <w:tcW w:w="3116" w:type="dxa"/>
          </w:tcPr>
          <w:p w:rsidR="007A42C2" w:rsidRDefault="007A42C2" w:rsidP="001B6CB7">
            <w:pPr>
              <w:pStyle w:val="ListParagraph"/>
              <w:numPr>
                <w:ilvl w:val="0"/>
                <w:numId w:val="1"/>
              </w:numPr>
              <w:rPr>
                <w:b/>
              </w:rPr>
            </w:pPr>
            <w:r>
              <w:rPr>
                <w:b/>
              </w:rPr>
              <w:t>Caught Doing Right!</w:t>
            </w:r>
          </w:p>
        </w:tc>
        <w:tc>
          <w:tcPr>
            <w:tcW w:w="3117" w:type="dxa"/>
          </w:tcPr>
          <w:p w:rsidR="007A42C2" w:rsidRDefault="007A42C2" w:rsidP="001B6CB7">
            <w:r>
              <w:t>Kudos badge could be sent to anyone with a campus e-mail</w:t>
            </w:r>
          </w:p>
        </w:tc>
        <w:tc>
          <w:tcPr>
            <w:tcW w:w="3117" w:type="dxa"/>
          </w:tcPr>
          <w:p w:rsidR="007A42C2" w:rsidRDefault="007A42C2" w:rsidP="007A42C2">
            <w:r>
              <w:t xml:space="preserve">Uncertain how/Push-out anyone on campus/with campus email, like an auto-responder that includes originator’s email comments? </w:t>
            </w:r>
          </w:p>
        </w:tc>
      </w:tr>
    </w:tbl>
    <w:p w:rsidR="002817E0" w:rsidRDefault="002817E0"/>
    <w:sectPr w:rsidR="002817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4C4" w:rsidRDefault="00EC54C4" w:rsidP="003362CA">
      <w:pPr>
        <w:spacing w:after="0" w:line="240" w:lineRule="auto"/>
      </w:pPr>
      <w:r>
        <w:separator/>
      </w:r>
    </w:p>
  </w:endnote>
  <w:endnote w:type="continuationSeparator" w:id="0">
    <w:p w:rsidR="00EC54C4" w:rsidRDefault="00EC54C4" w:rsidP="0033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BA" w:rsidRDefault="00B46BBA">
    <w:pPr>
      <w:pStyle w:val="Footer"/>
    </w:pPr>
    <w:r>
      <w:rPr>
        <w:noProof/>
        <w:sz w:val="18"/>
        <w:szCs w:val="18"/>
      </w:rPr>
      <w:drawing>
        <wp:inline distT="0" distB="0" distL="0" distR="0">
          <wp:extent cx="6572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Pr>
        <w:sz w:val="18"/>
        <w:szCs w:val="18"/>
      </w:rPr>
      <w:t>“This MSU-Northern/RevUp Montana workforce product was funded by a $1.7M grant awarded by the U.S. Department of Labor’s Employment and Training Administration. The product was created by the grantee and does not necessarily reflect the official position of the U.S. Department of Labor.”</w:t>
    </w:r>
    <w:r>
      <w:rPr>
        <w:sz w:val="18"/>
        <w:szCs w:val="18"/>
      </w:rPr>
      <w:br/>
      <w:t>-Melissa “Mel” Edwards, MSU-Northern Energy Sector Curriculum Coordinator.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4C4" w:rsidRDefault="00EC54C4" w:rsidP="003362CA">
      <w:pPr>
        <w:spacing w:after="0" w:line="240" w:lineRule="auto"/>
      </w:pPr>
      <w:r>
        <w:separator/>
      </w:r>
    </w:p>
  </w:footnote>
  <w:footnote w:type="continuationSeparator" w:id="0">
    <w:p w:rsidR="00EC54C4" w:rsidRDefault="00EC54C4" w:rsidP="00336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CA" w:rsidRDefault="003362CA">
    <w:pPr>
      <w:pStyle w:val="Header"/>
    </w:pPr>
    <w:r>
      <w:t>Ideas for Institutional</w:t>
    </w:r>
    <w:r w:rsidR="00086924">
      <w:t xml:space="preserve"> Digital</w:t>
    </w:r>
    <w:r>
      <w:t xml:space="preserve"> Badges</w:t>
    </w:r>
    <w:r w:rsidR="00086924">
      <w:t xml:space="preserve"> for Retention</w:t>
    </w:r>
    <w:r>
      <w:tab/>
    </w:r>
    <w:r>
      <w:tab/>
    </w:r>
    <w:r w:rsidR="00B46BBA">
      <w:t xml:space="preserve">Created by </w:t>
    </w:r>
    <w:r>
      <w:t>Mel. Edwards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BAD"/>
    <w:multiLevelType w:val="hybridMultilevel"/>
    <w:tmpl w:val="C7FA3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15"/>
    <w:rsid w:val="00086924"/>
    <w:rsid w:val="001B6CB7"/>
    <w:rsid w:val="001C6C42"/>
    <w:rsid w:val="002265CF"/>
    <w:rsid w:val="002817E0"/>
    <w:rsid w:val="003362CA"/>
    <w:rsid w:val="004253EB"/>
    <w:rsid w:val="00480115"/>
    <w:rsid w:val="004E64A4"/>
    <w:rsid w:val="00724B87"/>
    <w:rsid w:val="007A42C2"/>
    <w:rsid w:val="008F7032"/>
    <w:rsid w:val="00A44F6C"/>
    <w:rsid w:val="00B46BBA"/>
    <w:rsid w:val="00CC2E6E"/>
    <w:rsid w:val="00E22B26"/>
    <w:rsid w:val="00EC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884BF-8C62-4E5F-B26C-DA524F68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CB7"/>
    <w:pPr>
      <w:ind w:left="720"/>
      <w:contextualSpacing/>
    </w:pPr>
  </w:style>
  <w:style w:type="paragraph" w:styleId="Header">
    <w:name w:val="header"/>
    <w:basedOn w:val="Normal"/>
    <w:link w:val="HeaderChar"/>
    <w:uiPriority w:val="99"/>
    <w:unhideWhenUsed/>
    <w:rsid w:val="0033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2CA"/>
  </w:style>
  <w:style w:type="paragraph" w:styleId="Footer">
    <w:name w:val="footer"/>
    <w:basedOn w:val="Normal"/>
    <w:link w:val="FooterChar"/>
    <w:uiPriority w:val="99"/>
    <w:unhideWhenUsed/>
    <w:rsid w:val="0033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2CA"/>
  </w:style>
  <w:style w:type="character" w:styleId="Hyperlink">
    <w:name w:val="Hyperlink"/>
    <w:basedOn w:val="DefaultParagraphFont"/>
    <w:uiPriority w:val="99"/>
    <w:unhideWhenUsed/>
    <w:rsid w:val="004E6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4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bguides.richlandcollege.edu/librar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Edwards</dc:creator>
  <cp:keywords/>
  <dc:description/>
  <cp:lastModifiedBy>Melissa  Edwards</cp:lastModifiedBy>
  <cp:revision>3</cp:revision>
  <dcterms:created xsi:type="dcterms:W3CDTF">2015-04-23T16:38:00Z</dcterms:created>
  <dcterms:modified xsi:type="dcterms:W3CDTF">2015-04-23T16:38:00Z</dcterms:modified>
</cp:coreProperties>
</file>